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3341" w14:textId="77777777" w:rsidR="00AE1E86" w:rsidRPr="00A42CB3" w:rsidRDefault="00AE1E86" w:rsidP="00A42CB3">
      <w:pPr>
        <w:spacing w:line="276" w:lineRule="auto"/>
        <w:jc w:val="center"/>
        <w:rPr>
          <w:rFonts w:ascii="Georgia" w:hAnsi="Georgia"/>
          <w:b/>
          <w:bCs/>
          <w:sz w:val="28"/>
          <w:szCs w:val="28"/>
        </w:rPr>
      </w:pPr>
      <w:r w:rsidRPr="00A42CB3">
        <w:rPr>
          <w:rFonts w:ascii="Georgia" w:hAnsi="Georgia"/>
          <w:b/>
          <w:bCs/>
          <w:sz w:val="28"/>
          <w:szCs w:val="28"/>
        </w:rPr>
        <w:t xml:space="preserve">Standardy ochrony dzieci </w:t>
      </w:r>
    </w:p>
    <w:p w14:paraId="0AB8C4B2" w14:textId="21F5AC78" w:rsidR="00AE1E86" w:rsidRPr="00A42CB3" w:rsidRDefault="00AE1E86" w:rsidP="00A42CB3">
      <w:pPr>
        <w:spacing w:line="276" w:lineRule="auto"/>
        <w:jc w:val="center"/>
        <w:rPr>
          <w:rFonts w:ascii="Georgia" w:hAnsi="Georgia"/>
          <w:b/>
          <w:bCs/>
          <w:sz w:val="28"/>
          <w:szCs w:val="28"/>
        </w:rPr>
      </w:pPr>
      <w:r w:rsidRPr="00A42CB3">
        <w:rPr>
          <w:rFonts w:ascii="Georgia" w:hAnsi="Georgia"/>
          <w:b/>
          <w:bCs/>
          <w:sz w:val="28"/>
          <w:szCs w:val="28"/>
        </w:rPr>
        <w:t xml:space="preserve">w parafii pw. </w:t>
      </w:r>
      <w:r w:rsidR="00A42CB3" w:rsidRPr="00A42CB3">
        <w:rPr>
          <w:rFonts w:ascii="Georgia" w:hAnsi="Georgia"/>
          <w:b/>
          <w:bCs/>
          <w:sz w:val="28"/>
          <w:szCs w:val="28"/>
        </w:rPr>
        <w:t>Narodzenia NMP – MB Siewnej w Wilczopolu</w:t>
      </w:r>
    </w:p>
    <w:p w14:paraId="4A8B58F7" w14:textId="77777777" w:rsidR="00AE1E86" w:rsidRPr="00A42CB3" w:rsidRDefault="00AE1E86" w:rsidP="00A42CB3">
      <w:pPr>
        <w:spacing w:line="276" w:lineRule="auto"/>
        <w:rPr>
          <w:rFonts w:ascii="Georgia" w:hAnsi="Georgia"/>
          <w:sz w:val="28"/>
          <w:szCs w:val="28"/>
        </w:rPr>
      </w:pPr>
    </w:p>
    <w:p w14:paraId="1A282732" w14:textId="2F9BE54F" w:rsidR="002E0F1B" w:rsidRPr="00A42CB3" w:rsidRDefault="002E0F1B" w:rsidP="00A42CB3">
      <w:pPr>
        <w:spacing w:line="276" w:lineRule="auto"/>
        <w:ind w:firstLine="567"/>
        <w:jc w:val="both"/>
        <w:rPr>
          <w:rFonts w:ascii="Georgia" w:hAnsi="Georgia"/>
          <w:b/>
          <w:bCs/>
        </w:rPr>
      </w:pPr>
      <w:r w:rsidRPr="00A42CB3">
        <w:rPr>
          <w:rFonts w:ascii="Georgia" w:hAnsi="Georgia"/>
          <w:b/>
          <w:bCs/>
        </w:rPr>
        <w:t xml:space="preserve">Preambuła </w:t>
      </w:r>
    </w:p>
    <w:p w14:paraId="38C31DB1" w14:textId="673AAE1F" w:rsidR="002E0F1B" w:rsidRPr="00A42CB3" w:rsidRDefault="002E0F1B" w:rsidP="00A42CB3">
      <w:pPr>
        <w:spacing w:line="276" w:lineRule="auto"/>
        <w:ind w:firstLine="567"/>
        <w:jc w:val="both"/>
        <w:rPr>
          <w:rFonts w:ascii="Georgia" w:hAnsi="Georgia"/>
        </w:rPr>
      </w:pPr>
      <w:r w:rsidRPr="00A42CB3">
        <w:rPr>
          <w:rFonts w:ascii="Georgia" w:hAnsi="Georgia"/>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w:t>
      </w:r>
    </w:p>
    <w:p w14:paraId="10B6A1B4" w14:textId="77777777" w:rsidR="002E0F1B" w:rsidRPr="00A42CB3" w:rsidRDefault="002E0F1B" w:rsidP="00A42CB3">
      <w:pPr>
        <w:spacing w:line="276" w:lineRule="auto"/>
        <w:ind w:firstLine="567"/>
        <w:jc w:val="both"/>
        <w:rPr>
          <w:rFonts w:ascii="Georgia" w:hAnsi="Georgia"/>
          <w:b/>
          <w:bCs/>
        </w:rPr>
      </w:pPr>
      <w:r w:rsidRPr="00A42CB3">
        <w:rPr>
          <w:rFonts w:ascii="Georgia" w:hAnsi="Georgia"/>
          <w:b/>
          <w:bCs/>
        </w:rPr>
        <w:t xml:space="preserve">Wstęp </w:t>
      </w:r>
    </w:p>
    <w:p w14:paraId="36E8D0BF" w14:textId="77777777" w:rsidR="0060191C" w:rsidRPr="00A42CB3" w:rsidRDefault="002E0F1B" w:rsidP="00A42CB3">
      <w:pPr>
        <w:spacing w:line="276" w:lineRule="auto"/>
        <w:ind w:firstLine="567"/>
        <w:jc w:val="both"/>
        <w:rPr>
          <w:rFonts w:ascii="Georgia" w:hAnsi="Georgia"/>
        </w:rPr>
      </w:pPr>
      <w:r w:rsidRPr="00A42CB3">
        <w:rPr>
          <w:rFonts w:ascii="Georgia" w:hAnsi="Georgia"/>
        </w:rPr>
        <w:t xml:space="preserve">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 „Narodowej strategii walki z przemocą wobec dzieci”. 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także stworzą warunki do świadomego ich udziału 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 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Ta ustawa zrodzona z odruchu solidarności ponad wszystkimi podziałami została bezzwłocznie przyjęta przez Kościół. Odpowiedź pasterzy, osób duchownych i kompetentnych świeckich od wielu lat zaangażowanych w ochronę dzieci oraz osób bezbronnych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żadne z tych najmniejszych. W oparciu to tę ewangeliczną 5 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rozpoznawania tych, którzy potrzebują pomocy i wsparcia oraz bezzwłocznego podejmowania działań w przypadku podejrzeń lub ujawnienia okoliczności, które mogą wskazywać, że dziecku zagraża lub dzieje się krzywda. Kościół działa sprawnie i zgodnie 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Kościół może w odpowiedni sposób zapobiec krzywdzie i skutecznie ochronić przed nią dzieci oraz osoby bezbronne. </w:t>
      </w:r>
    </w:p>
    <w:p w14:paraId="504C7E2C" w14:textId="77777777" w:rsidR="0060191C" w:rsidRPr="00A42CB3" w:rsidRDefault="002E0F1B" w:rsidP="00A42CB3">
      <w:pPr>
        <w:spacing w:line="276" w:lineRule="auto"/>
        <w:ind w:firstLine="567"/>
        <w:jc w:val="both"/>
        <w:rPr>
          <w:rFonts w:ascii="Georgia" w:hAnsi="Georgia"/>
          <w:b/>
          <w:bCs/>
        </w:rPr>
      </w:pPr>
      <w:r w:rsidRPr="00A42CB3">
        <w:rPr>
          <w:rFonts w:ascii="Georgia" w:hAnsi="Georgia"/>
          <w:b/>
          <w:bCs/>
        </w:rPr>
        <w:t xml:space="preserve">Specyfika środowiska parafialnego </w:t>
      </w:r>
    </w:p>
    <w:p w14:paraId="380600F7" w14:textId="2D6A9C65" w:rsidR="00AB6F19" w:rsidRPr="00A42CB3" w:rsidRDefault="002E0F1B" w:rsidP="00A42CB3">
      <w:pPr>
        <w:spacing w:line="276" w:lineRule="auto"/>
        <w:ind w:firstLine="567"/>
        <w:jc w:val="both"/>
        <w:rPr>
          <w:rFonts w:ascii="Georgia" w:hAnsi="Georgia"/>
        </w:rPr>
      </w:pPr>
      <w:r w:rsidRPr="00A42CB3">
        <w:rPr>
          <w:rFonts w:ascii="Georgia" w:hAnsi="Georgia"/>
        </w:rPr>
        <w:lastRenderedPageBreak/>
        <w:t xml:space="preserve">Parafia jako podstawowa komórka instytucjonalna Kościoła, wyróżnia się specyficznymi obszarami działania. Odprawiane są w niej liczne nabożeństwa i uroczystości oraz sprawowane są sakramenty (Eucharystii, chrztu, I Komunii Świętej, bierzmowania, małżeństwa oraz pokuty i pojednania). Odwiedziny chorych oraz wizyty duszpasterskie dają okazję do wglądu m.in. w sytuację rodzinną, materialną parafian, również w kontekście zauważenia krzywdy i przemocy, a co za tym idzie dają możliwość podjęcia odpowiednich kroków zapobiegawczych lub interwencji. W parafii funkcjonują różne grupy duszpasterskie, odbywają się zbiórki ministrantów, lektorów, próby scholi, wyjazdy parafialne z księdzem, np. pielgrzymki, wyjazdy z ministrantami, </w:t>
      </w:r>
      <w:proofErr w:type="spellStart"/>
      <w:r w:rsidRPr="00A42CB3">
        <w:rPr>
          <w:rFonts w:ascii="Georgia" w:hAnsi="Georgia"/>
        </w:rPr>
        <w:t>scholą</w:t>
      </w:r>
      <w:proofErr w:type="spellEnd"/>
      <w:r w:rsidRPr="00A42CB3">
        <w:rPr>
          <w:rFonts w:ascii="Georgia" w:hAnsi="Georgia"/>
        </w:rPr>
        <w:t xml:space="preserve"> itp. Funkcjonują kancelaria parafialna oraz</w:t>
      </w:r>
      <w:r w:rsidR="0060191C" w:rsidRPr="00A42CB3">
        <w:rPr>
          <w:rFonts w:ascii="Georgia" w:hAnsi="Georgia"/>
        </w:rPr>
        <w:t xml:space="preserve"> </w:t>
      </w:r>
      <w:r w:rsidRPr="00A42CB3">
        <w:rPr>
          <w:rFonts w:ascii="Georgia" w:hAnsi="Georgia"/>
        </w:rPr>
        <w:t>parafialn</w:t>
      </w:r>
      <w:r w:rsidR="0060191C" w:rsidRPr="00A42CB3">
        <w:rPr>
          <w:rFonts w:ascii="Georgia" w:hAnsi="Georgia"/>
        </w:rPr>
        <w:t>a</w:t>
      </w:r>
      <w:r w:rsidRPr="00A42CB3">
        <w:rPr>
          <w:rFonts w:ascii="Georgia" w:hAnsi="Georgia"/>
        </w:rPr>
        <w:t xml:space="preserve"> strona www. Istnieje rada parafialna, a parafia dysponuje i zarządza własnymi finansami. Praktykowany jest też jasny podział hierarchiczny: proboszcz, </w:t>
      </w:r>
      <w:r w:rsidR="00A42CB3">
        <w:rPr>
          <w:rFonts w:ascii="Georgia" w:hAnsi="Georgia"/>
        </w:rPr>
        <w:t>księża posługujący w parafii</w:t>
      </w:r>
      <w:r w:rsidRPr="00A42CB3">
        <w:rPr>
          <w:rFonts w:ascii="Georgia" w:hAnsi="Georgia"/>
        </w:rPr>
        <w:t>. Proboszcz zazwyczaj towarzyszy parafianom przez wiele lat ich rozwoju religijnego. Bywa, że parafianie uczestniczą w uroczystościach związanych z życiem osobistym duszpasterz</w:t>
      </w:r>
      <w:r w:rsidR="00A42CB3">
        <w:rPr>
          <w:rFonts w:ascii="Georgia" w:hAnsi="Georgia"/>
        </w:rPr>
        <w:t>a</w:t>
      </w:r>
      <w:r w:rsidRPr="00A42CB3">
        <w:rPr>
          <w:rFonts w:ascii="Georgia" w:hAnsi="Georgia"/>
        </w:rPr>
        <w:t xml:space="preserve">, np. prymicje, rocznice itp. Również </w:t>
      </w:r>
      <w:r w:rsidR="00A42CB3">
        <w:rPr>
          <w:rFonts w:ascii="Georgia" w:hAnsi="Georgia"/>
        </w:rPr>
        <w:t>proboszcz</w:t>
      </w:r>
      <w:r w:rsidRPr="00A42CB3">
        <w:rPr>
          <w:rFonts w:ascii="Georgia" w:hAnsi="Georgia"/>
        </w:rPr>
        <w:t xml:space="preserve"> zapraszan</w:t>
      </w:r>
      <w:r w:rsidR="00A42CB3">
        <w:rPr>
          <w:rFonts w:ascii="Georgia" w:hAnsi="Georgia"/>
        </w:rPr>
        <w:t>y</w:t>
      </w:r>
      <w:r w:rsidRPr="00A42CB3">
        <w:rPr>
          <w:rFonts w:ascii="Georgia" w:hAnsi="Georgia"/>
        </w:rPr>
        <w:t xml:space="preserve"> </w:t>
      </w:r>
      <w:r w:rsidR="00A42CB3">
        <w:rPr>
          <w:rFonts w:ascii="Georgia" w:hAnsi="Georgia"/>
        </w:rPr>
        <w:t>jest</w:t>
      </w:r>
      <w:r w:rsidRPr="00A42CB3">
        <w:rPr>
          <w:rFonts w:ascii="Georgia" w:hAnsi="Georgia"/>
        </w:rPr>
        <w:t xml:space="preserve"> przez parafian na uroczystości rodzinne. W parafii zatrudniane są osoby świeckie posługujący jako wolontariusze</w:t>
      </w:r>
      <w:r w:rsidR="0060191C" w:rsidRPr="00A42CB3">
        <w:rPr>
          <w:rFonts w:ascii="Georgia" w:hAnsi="Georgia"/>
        </w:rPr>
        <w:t xml:space="preserve">. </w:t>
      </w:r>
      <w:r w:rsidRPr="00A42CB3">
        <w:rPr>
          <w:rFonts w:ascii="Georgia" w:hAnsi="Georgia"/>
        </w:rPr>
        <w:t xml:space="preserve">Parafia użycza lub udostępniania pomieszczenia parafialne innym podmiotom </w:t>
      </w:r>
      <w:r w:rsidR="00A42CB3">
        <w:rPr>
          <w:rFonts w:ascii="Georgia" w:hAnsi="Georgia"/>
        </w:rPr>
        <w:t>w</w:t>
      </w:r>
      <w:r w:rsidRPr="00A42CB3">
        <w:rPr>
          <w:rFonts w:ascii="Georgia" w:hAnsi="Georgia"/>
        </w:rPr>
        <w:t>ewnętrznym</w:t>
      </w:r>
      <w:r w:rsidR="00A42CB3">
        <w:rPr>
          <w:rFonts w:ascii="Georgia" w:hAnsi="Georgia"/>
        </w:rPr>
        <w:t xml:space="preserve"> (OPP Dobry Siew)</w:t>
      </w:r>
      <w:r w:rsidRPr="00A42CB3">
        <w:rPr>
          <w:rFonts w:ascii="Georgia" w:hAnsi="Georgia"/>
        </w:rPr>
        <w:t xml:space="preserve">. To w parafii głównie toczy się życie sakramentalne wiernych, a życie rodzinne wokół celebracji roku liturgicznego. Rodzice w zaufaniu przyprowadzają swoje dzieci do parafii i oczekują, że będą tam one bezpieczne. Parafianie są osobami w różnym wieku, w różnej sytuacji rodzinnej, zawodowej, a </w:t>
      </w:r>
      <w:r w:rsidR="00A42CB3">
        <w:rPr>
          <w:rFonts w:ascii="Georgia" w:hAnsi="Georgia"/>
        </w:rPr>
        <w:t>proboszcz</w:t>
      </w:r>
      <w:r w:rsidRPr="00A42CB3">
        <w:rPr>
          <w:rFonts w:ascii="Georgia" w:hAnsi="Georgia"/>
        </w:rPr>
        <w:t xml:space="preserve"> oraz osoby pracujące na rzecz parafii mają nierzadko wgląd w ich potrzeby oraz możliwość zaradzenia im. Z tego powodu standardy ochrony dzieci w obszarze parafialnym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parafian, jak i osoby duchowne, pracowników i wolontariuszy parafii. Ten szeroki zakres działalności oraz wielość osób zaangażowanych w życie parafialne, mogących mieć dostęp do dzieci i młodzieży oraz posiadających wgląd w prywatne życie parafian, zobowiązuje nas do szczegółowego opracowania zasad ochronnych. Sama dynamika życia parafialnego zawiera w sobie specyficzne czynniki chroniące przed przemocą, takie jak: poczucie sacrum, permanentna formacja, społeczne zaufanie, poczucie przynależności i wzajemnej odpowiedzialności, relacje oparte na zasadach ewangelicznych, wspólnotowość, w tym przynależność młodzieży do pozytywnej grupy rówieśniczej oraz publiczność działań (większość aktywności dzieje się na oczach innych), w tym nadzór rodziców. Dodatkowo, przy okazji np. nagłych wezwań do chorych lub podczas wizyt duszpasterskich, istnieje możliwość dostrzeżenia specyficznych potrzeb parafian lub deficytów, w tym przemocy w obszarze rodzinnym i podjęcia odpowiedniej interwencji. Księża posługujący w parafii są często tymi osobami, do których zwracają się o pomoc osoby doświadczające jakiejkolwiek krzywdy, szukające wsparcia i zrozumienia. Jednakże w specyficznej dynamice życia parafialnego obecne są również czynniki zagrażające, ułatwiające zaistnienie przemocy. Będą nimi np. społeczne zaufanie i autorytet, jakim cieszą się księża, w tym klerykalizm, a także atmosfera zależności i posłuszeństwa hierarchii sprzyjająca zachowywaniu tajemnicy oraz brak nadzoru z zewnątrz. Wiedza duszpasterz</w:t>
      </w:r>
      <w:r w:rsidR="00A42CB3">
        <w:rPr>
          <w:rFonts w:ascii="Georgia" w:hAnsi="Georgia"/>
        </w:rPr>
        <w:t>a</w:t>
      </w:r>
      <w:r w:rsidRPr="00A42CB3">
        <w:rPr>
          <w:rFonts w:ascii="Georgia" w:hAnsi="Georgia"/>
        </w:rPr>
        <w:t xml:space="preserve"> o życiu parafian, znajomość ich tajemnic, warunków materialnych, problemów i potrzeb oraz fizyczna obecność w ich przestrzeni prywatnej daje możliwość manipulacji i wykorzystania, stanowi poważny czynnik zagrożenia. Niebezpieczne jest też nawiązywanie przez </w:t>
      </w:r>
      <w:r w:rsidR="00A42CB3">
        <w:rPr>
          <w:rFonts w:ascii="Georgia" w:hAnsi="Georgia"/>
        </w:rPr>
        <w:t>księdza</w:t>
      </w:r>
      <w:r w:rsidRPr="00A42CB3">
        <w:rPr>
          <w:rFonts w:ascii="Georgia" w:hAnsi="Georgia"/>
        </w:rPr>
        <w:t xml:space="preserve"> specyficznych relacji, polegających na wyróżnianiu wybranych parafian. Niedojrzałość </w:t>
      </w:r>
      <w:r w:rsidR="00A42CB3">
        <w:rPr>
          <w:rFonts w:ascii="Georgia" w:hAnsi="Georgia"/>
        </w:rPr>
        <w:t>księdza</w:t>
      </w:r>
      <w:r w:rsidRPr="00A42CB3">
        <w:rPr>
          <w:rFonts w:ascii="Georgia" w:hAnsi="Georgia"/>
        </w:rPr>
        <w:t xml:space="preserve"> czy zaangażowanych współpracowników, np. tzw. charyzmatycznych i autorytarnych liderów-celebrytów, zawsze będzie zagrożeniem. Ewentualny brak wiedzy i kompetencji spowiedników zawsze będą sprzyjały wystąpieniu nadużyć duchowych. Z wyżej wymienionych powodów zredagowane zostały poniższe standardy ochrony. </w:t>
      </w:r>
    </w:p>
    <w:p w14:paraId="4C8603E6" w14:textId="4F602F5E" w:rsidR="002E0F1B" w:rsidRPr="00A42CB3" w:rsidRDefault="002E0F1B" w:rsidP="00A42CB3">
      <w:pPr>
        <w:spacing w:line="276" w:lineRule="auto"/>
        <w:ind w:firstLine="567"/>
        <w:jc w:val="both"/>
        <w:rPr>
          <w:rFonts w:ascii="Georgia" w:hAnsi="Georgia"/>
          <w:b/>
          <w:bCs/>
        </w:rPr>
      </w:pPr>
      <w:r w:rsidRPr="00A42CB3">
        <w:rPr>
          <w:rFonts w:ascii="Georgia" w:hAnsi="Georgia"/>
          <w:b/>
          <w:bCs/>
        </w:rPr>
        <w:t xml:space="preserve">Objaśnienie terminów </w:t>
      </w:r>
    </w:p>
    <w:p w14:paraId="7EEF326A" w14:textId="396E036B" w:rsidR="002E0F1B" w:rsidRPr="00A42CB3" w:rsidRDefault="002E0F1B" w:rsidP="00A42CB3">
      <w:pPr>
        <w:spacing w:line="276" w:lineRule="auto"/>
        <w:ind w:firstLine="567"/>
        <w:jc w:val="both"/>
        <w:rPr>
          <w:rFonts w:ascii="Georgia" w:hAnsi="Georgia"/>
        </w:rPr>
      </w:pPr>
      <w:r w:rsidRPr="00A42CB3">
        <w:rPr>
          <w:rFonts w:ascii="Georgia" w:hAnsi="Georgia"/>
        </w:rPr>
        <w:t xml:space="preserve">Osoby, ich role i funkcje w Kościele </w:t>
      </w:r>
    </w:p>
    <w:p w14:paraId="5E8115CF"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ksiądz, prezbiter, kapłan, duchowny – ochrzczony mężczyzna, który przyjął święcenia kapłańskie. </w:t>
      </w:r>
    </w:p>
    <w:p w14:paraId="285FD078" w14:textId="48F0F202" w:rsidR="002E0F1B" w:rsidRPr="00A42CB3" w:rsidRDefault="002E0F1B" w:rsidP="00A42CB3">
      <w:pPr>
        <w:spacing w:line="276" w:lineRule="auto"/>
        <w:ind w:firstLine="567"/>
        <w:jc w:val="both"/>
        <w:rPr>
          <w:rFonts w:ascii="Georgia" w:hAnsi="Georgia"/>
        </w:rPr>
      </w:pPr>
      <w:r w:rsidRPr="00A42CB3">
        <w:rPr>
          <w:rFonts w:ascii="Georgia" w:hAnsi="Georgia"/>
        </w:rPr>
        <w:lastRenderedPageBreak/>
        <w:t xml:space="preserve">duchowieństwo, kler – (diakoni, księża, biskupi) – mężczyźni ochrzczeni, którzy przyjęli święcenia w stopniu diakonatu, </w:t>
      </w:r>
      <w:proofErr w:type="spellStart"/>
      <w:r w:rsidRPr="00A42CB3">
        <w:rPr>
          <w:rFonts w:ascii="Georgia" w:hAnsi="Georgia"/>
        </w:rPr>
        <w:t>prezbiteratu</w:t>
      </w:r>
      <w:proofErr w:type="spellEnd"/>
      <w:r w:rsidRPr="00A42CB3">
        <w:rPr>
          <w:rFonts w:ascii="Georgia" w:hAnsi="Georgia"/>
        </w:rPr>
        <w:t xml:space="preserve"> lub biskupie. </w:t>
      </w:r>
    </w:p>
    <w:p w14:paraId="5A50B0F4" w14:textId="77777777" w:rsidR="002E0F1B" w:rsidRPr="00A42CB3" w:rsidRDefault="002E0F1B" w:rsidP="00A42CB3">
      <w:pPr>
        <w:spacing w:line="276" w:lineRule="auto"/>
        <w:ind w:firstLine="567"/>
        <w:jc w:val="both"/>
        <w:rPr>
          <w:rFonts w:ascii="Georgia" w:hAnsi="Georgia"/>
        </w:rPr>
      </w:pPr>
      <w:r w:rsidRPr="00A42CB3">
        <w:rPr>
          <w:rFonts w:ascii="Georgia" w:hAnsi="Georgia"/>
        </w:rPr>
        <w:t xml:space="preserve">osoby konsekrowane – osoby, które w sposób szczególny poświęcają życie Bogu. Łączy je konsekracja, która wiąże się ze złożeniem Bogu ślubów czystości oraz najczęściej 7 również ubóstwa i posłuszeństwa, choć zależy to od formy życia konsekrowanego. Należą do nich członkowie stowarzyszeń zakonnych oraz świeckie osoby konsekrowane. </w:t>
      </w:r>
    </w:p>
    <w:p w14:paraId="2AD59012"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osoba świecka – członek Kościoła katolickiego bez święceń. </w:t>
      </w:r>
    </w:p>
    <w:p w14:paraId="20421186" w14:textId="192E934C" w:rsidR="002E0F1B" w:rsidRPr="00A42CB3" w:rsidRDefault="002E0F1B" w:rsidP="00A42CB3">
      <w:pPr>
        <w:spacing w:line="276" w:lineRule="auto"/>
        <w:ind w:firstLine="567"/>
        <w:jc w:val="both"/>
        <w:rPr>
          <w:rFonts w:ascii="Georgia" w:hAnsi="Georgia"/>
        </w:rPr>
      </w:pPr>
      <w:r w:rsidRPr="00A42CB3">
        <w:rPr>
          <w:rFonts w:ascii="Georgia" w:hAnsi="Georgia"/>
        </w:rPr>
        <w:t xml:space="preserve">biskup – biskup diecezjalny, ordynariusz ordynariatu i prałat Prałatury Personalnej Kościoła łacińskiego oraz hierarcha Kościołów wschodnich. </w:t>
      </w:r>
    </w:p>
    <w:p w14:paraId="2230D67E" w14:textId="77777777" w:rsidR="002E0F1B" w:rsidRPr="00A42CB3" w:rsidRDefault="002E0F1B" w:rsidP="00A42CB3">
      <w:pPr>
        <w:spacing w:line="276" w:lineRule="auto"/>
        <w:ind w:firstLine="567"/>
        <w:jc w:val="both"/>
        <w:rPr>
          <w:rFonts w:ascii="Georgia" w:hAnsi="Georgia"/>
        </w:rPr>
      </w:pPr>
      <w:r w:rsidRPr="00A42CB3">
        <w:rPr>
          <w:rFonts w:ascii="Georgia" w:hAnsi="Georgia"/>
        </w:rPr>
        <w:t xml:space="preserve">proboszcz – prezbiter mianowany przez biskupa diecezjalnego na urząd proboszcza. </w:t>
      </w:r>
    </w:p>
    <w:p w14:paraId="20E63F47" w14:textId="77777777" w:rsidR="002E0F1B" w:rsidRPr="00A42CB3" w:rsidRDefault="002E0F1B" w:rsidP="00A42CB3">
      <w:pPr>
        <w:spacing w:line="276" w:lineRule="auto"/>
        <w:ind w:firstLine="567"/>
        <w:jc w:val="both"/>
        <w:rPr>
          <w:rFonts w:ascii="Georgia" w:hAnsi="Georgia"/>
        </w:rPr>
      </w:pPr>
      <w:r w:rsidRPr="00A42CB3">
        <w:rPr>
          <w:rFonts w:ascii="Georgia" w:hAnsi="Georgia"/>
        </w:rPr>
        <w:t xml:space="preserve">personel kościelny – duchowny, osoba zakonna lub inna osoba zatrudniona przez Kościół na podstawie umowy, podwykonawstwa, dobrowolnie lub nieodpłatnie. </w:t>
      </w:r>
    </w:p>
    <w:p w14:paraId="7BB155E4"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szafarz nadzwyczajny Komunii Świętej – osoba wyznaczona do udzielania Komunii Świętej, niemająca święceń. </w:t>
      </w:r>
    </w:p>
    <w:p w14:paraId="7D0CFB97" w14:textId="6BFFD08F" w:rsidR="007C631E" w:rsidRPr="00A42CB3" w:rsidRDefault="002E0F1B" w:rsidP="00A42CB3">
      <w:pPr>
        <w:spacing w:line="276" w:lineRule="auto"/>
        <w:ind w:firstLine="567"/>
        <w:jc w:val="both"/>
        <w:rPr>
          <w:rFonts w:ascii="Georgia" w:hAnsi="Georgia"/>
        </w:rPr>
      </w:pPr>
      <w:r w:rsidRPr="00A42CB3">
        <w:rPr>
          <w:rFonts w:ascii="Georgia" w:hAnsi="Georgia"/>
        </w:rPr>
        <w:t xml:space="preserve">wolontariusz – osoba, która na rzecz innych osób lub danej grupy społecznej, dobrowolnie i bezpłatnie świadczy pracę wykraczającą poza związki rodzinno-koleżeńsko-przyjacielskie. Określenie „bezpłatna” nie oznacza „bezinteresowna”, lecz „bez wynagrodzenia materialnego”. </w:t>
      </w:r>
    </w:p>
    <w:p w14:paraId="77F80FE7"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organizator wyjazdu – osoba/podmiot uprawniony do organizacji wyjazdu dzieci – parafie, wspólnoty religijne, szkoły i placówki, przedsiębiorcy podlegający ustawie o usługach turystycznych, osoby fizyczne, osoby prawne i jednostki nieposiadające osobowości prawnej. </w:t>
      </w:r>
    </w:p>
    <w:p w14:paraId="12E50139"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Organizacja posługi Kościoła </w:t>
      </w:r>
    </w:p>
    <w:p w14:paraId="3E007478"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diecezja – diecezja, archidiecezja, ordynariat lub prałatura personalna Kościoła łacińskiego i eparchia Kościoła wschodniego. </w:t>
      </w:r>
    </w:p>
    <w:p w14:paraId="15E00C2D"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parafia – określona wspólnota wiernych, utworzona na sposób stały w Kościele partykularnym, nad którą pasterską pieczę, pod władzą biskupa diecezjalnego, powierza się proboszczowi jako jej własnemu pasterzowi. </w:t>
      </w:r>
    </w:p>
    <w:p w14:paraId="5EF89B9D"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duszpasterstwo, w tym duszpasterstwo parafialne – sytuacja, w której jedna osoba jest odpowiedzialna za dobro drugiej lub za wspólnotę wyznaniową. Obejmuje celebrowanie liturgii, zapewnienie porad i wsparcia duchowego, edukację, poradnictwo, opiekę medyczną i pomoc w potrzebie. Wszelka praca polegająca na nadzorze lub wychowaniu dzieci jest dziełem duszpasterskim. </w:t>
      </w:r>
    </w:p>
    <w:p w14:paraId="21BB4E37"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duszpasterstwo </w:t>
      </w:r>
      <w:proofErr w:type="spellStart"/>
      <w:r w:rsidRPr="00A42CB3">
        <w:rPr>
          <w:rFonts w:ascii="Georgia" w:hAnsi="Georgia"/>
        </w:rPr>
        <w:t>pozaparafialne</w:t>
      </w:r>
      <w:proofErr w:type="spellEnd"/>
      <w:r w:rsidRPr="00A42CB3">
        <w:rPr>
          <w:rFonts w:ascii="Georgia" w:hAnsi="Georgia"/>
        </w:rPr>
        <w:t xml:space="preserve"> –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A42CB3">
        <w:rPr>
          <w:rFonts w:ascii="Georgia" w:hAnsi="Georgia"/>
        </w:rPr>
        <w:t>pozaparafialne</w:t>
      </w:r>
      <w:proofErr w:type="spellEnd"/>
      <w:r w:rsidRPr="00A42CB3">
        <w:rPr>
          <w:rFonts w:ascii="Georgia" w:hAnsi="Georgia"/>
        </w:rPr>
        <w:t xml:space="preserve">. </w:t>
      </w:r>
    </w:p>
    <w:p w14:paraId="0956406F"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klerykalizm – postawa wobec duchowieństwa/osoby zakonnej charakteryzująca się nadmiernym szacunkiem i przekonaniem o ich wyższości moralnej. Papież Franciszek 8 powiedział, że ma to miejsce, gdy „duchowni czują się lepsi, [i kiedy] są daleko od ludu”. Może być „wspierany przez samych księży lub przez osoby świeckie”. </w:t>
      </w:r>
    </w:p>
    <w:p w14:paraId="121EC300"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Dzieci i osoby bezbronne </w:t>
      </w:r>
    </w:p>
    <w:p w14:paraId="3FB10D61"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dziecko – osoba poniżej 18. roku życia. </w:t>
      </w:r>
    </w:p>
    <w:p w14:paraId="6F73A6E5"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małoletni – w rozumieniu polskiego prawa cywilnego osoba, która nie ukończyła 18 lat lub nie zawarła małżeństwa. </w:t>
      </w:r>
    </w:p>
    <w:p w14:paraId="0B2983BA" w14:textId="77777777" w:rsidR="007C631E" w:rsidRPr="00A42CB3" w:rsidRDefault="002E0F1B" w:rsidP="00A42CB3">
      <w:pPr>
        <w:spacing w:line="276" w:lineRule="auto"/>
        <w:ind w:firstLine="567"/>
        <w:jc w:val="both"/>
        <w:rPr>
          <w:rFonts w:ascii="Georgia" w:hAnsi="Georgia"/>
        </w:rPr>
      </w:pPr>
      <w:r w:rsidRPr="00A42CB3">
        <w:rPr>
          <w:rFonts w:ascii="Georgia" w:hAnsi="Georgia"/>
        </w:rPr>
        <w:lastRenderedPageBreak/>
        <w:t xml:space="preserve">nieletni – w rozumieniu prawa karnego osoba, która w momencie popełnienia czynu zabronionego nie ukończyła 17. roku życia. </w:t>
      </w:r>
    </w:p>
    <w:p w14:paraId="3A6C4861" w14:textId="67217F9C" w:rsidR="007C631E" w:rsidRPr="00A42CB3" w:rsidRDefault="002E0F1B" w:rsidP="00A42CB3">
      <w:pPr>
        <w:spacing w:line="276" w:lineRule="auto"/>
        <w:ind w:firstLine="567"/>
        <w:jc w:val="both"/>
        <w:rPr>
          <w:rFonts w:ascii="Georgia" w:hAnsi="Georgia"/>
        </w:rPr>
      </w:pPr>
      <w:r w:rsidRPr="00A42CB3">
        <w:rPr>
          <w:rFonts w:ascii="Georgia" w:hAnsi="Georgia"/>
        </w:rPr>
        <w:t xml:space="preserve">wiek bezwzględnej ochrony – wiek niższy niż wiek zgody. Czynność seksualna z osobą w wieku ochronnym jest czynem zabronionym (wykorzystaniem seksualnym), a osoba dopuszczająca się jej i lub doprowadzająca do niej podlega odpowiedzialności karnej. W Polsce obecnie wynosi 15 lat. </w:t>
      </w:r>
    </w:p>
    <w:p w14:paraId="275CA3F8"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dziecko wykorzystane seksualnie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(Standing </w:t>
      </w:r>
      <w:proofErr w:type="spellStart"/>
      <w:r w:rsidRPr="00A42CB3">
        <w:rPr>
          <w:rFonts w:ascii="Georgia" w:hAnsi="Georgia"/>
        </w:rPr>
        <w:t>Committee</w:t>
      </w:r>
      <w:proofErr w:type="spellEnd"/>
      <w:r w:rsidRPr="00A42CB3">
        <w:rPr>
          <w:rFonts w:ascii="Georgia" w:hAnsi="Georgia"/>
        </w:rPr>
        <w:t xml:space="preserve"> on </w:t>
      </w:r>
      <w:proofErr w:type="spellStart"/>
      <w:r w:rsidRPr="00A42CB3">
        <w:rPr>
          <w:rFonts w:ascii="Georgia" w:hAnsi="Georgia"/>
        </w:rPr>
        <w:t>Sexually</w:t>
      </w:r>
      <w:proofErr w:type="spellEnd"/>
      <w:r w:rsidRPr="00A42CB3">
        <w:rPr>
          <w:rFonts w:ascii="Georgia" w:hAnsi="Georgia"/>
        </w:rPr>
        <w:t xml:space="preserve"> </w:t>
      </w:r>
      <w:proofErr w:type="spellStart"/>
      <w:r w:rsidRPr="00A42CB3">
        <w:rPr>
          <w:rFonts w:ascii="Georgia" w:hAnsi="Georgia"/>
        </w:rPr>
        <w:t>Abused</w:t>
      </w:r>
      <w:proofErr w:type="spellEnd"/>
      <w:r w:rsidRPr="00A42CB3">
        <w:rPr>
          <w:rFonts w:ascii="Georgia" w:hAnsi="Georgia"/>
        </w:rPr>
        <w:t xml:space="preserve"> </w:t>
      </w:r>
      <w:proofErr w:type="spellStart"/>
      <w:r w:rsidRPr="00A42CB3">
        <w:rPr>
          <w:rFonts w:ascii="Georgia" w:hAnsi="Georgia"/>
        </w:rPr>
        <w:t>Children</w:t>
      </w:r>
      <w:proofErr w:type="spellEnd"/>
      <w:r w:rsidRPr="00A42CB3">
        <w:rPr>
          <w:rFonts w:ascii="Georgia" w:hAnsi="Georgia"/>
        </w:rPr>
        <w:t xml:space="preserve">). </w:t>
      </w:r>
    </w:p>
    <w:p w14:paraId="500669D6"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opiekun – osoba sprawująca pieczę nad dzieckiem, uprawniona do reprezentacji dziecka oraz posiadająca władzę prawną do dbania o interesy osobiste i majątkowe innej osoby (rodzic, rodzic zastępczy lub osoba uprawniona przez rodzica). </w:t>
      </w:r>
    </w:p>
    <w:p w14:paraId="0B3D68D1"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zgoda opiekuna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14:paraId="4291E8B4"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osoba dorosła bezbronna zgodnie z art. 1 ust. 2 b) </w:t>
      </w:r>
      <w:proofErr w:type="spellStart"/>
      <w:r w:rsidRPr="00A42CB3">
        <w:rPr>
          <w:rFonts w:ascii="Georgia" w:hAnsi="Georgia"/>
        </w:rPr>
        <w:t>Vos</w:t>
      </w:r>
      <w:proofErr w:type="spellEnd"/>
      <w:r w:rsidRPr="00A42CB3">
        <w:rPr>
          <w:rFonts w:ascii="Georgia" w:hAnsi="Georgia"/>
        </w:rPr>
        <w:t xml:space="preserve"> </w:t>
      </w:r>
      <w:proofErr w:type="spellStart"/>
      <w:r w:rsidRPr="00A42CB3">
        <w:rPr>
          <w:rFonts w:ascii="Georgia" w:hAnsi="Georgia"/>
        </w:rPr>
        <w:t>Estis</w:t>
      </w:r>
      <w:proofErr w:type="spellEnd"/>
      <w:r w:rsidRPr="00A42CB3">
        <w:rPr>
          <w:rFonts w:ascii="Georgia" w:hAnsi="Georgia"/>
        </w:rPr>
        <w:t xml:space="preserve"> Lux </w:t>
      </w:r>
      <w:proofErr w:type="spellStart"/>
      <w:r w:rsidRPr="00A42CB3">
        <w:rPr>
          <w:rFonts w:ascii="Georgia" w:hAnsi="Georgia"/>
        </w:rPr>
        <w:t>Mundi</w:t>
      </w:r>
      <w:proofErr w:type="spellEnd"/>
      <w:r w:rsidRPr="00A42CB3">
        <w:rPr>
          <w:rFonts w:ascii="Georgia" w:hAnsi="Georgia"/>
        </w:rPr>
        <w:t xml:space="preserve"> – każda osoba znajdująca się w stanie niepełnosprawności, upośledzeniu fizycznym lub psychicznym albo pozbawiona wolności osobistej, która w rzeczywistości, nawet sporadycznie, ogranicza ich zdolność zrozumienia, chęci lub przeciwstawienia się przestępstwu w inny sposób. </w:t>
      </w:r>
    </w:p>
    <w:p w14:paraId="77714FB2"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Różne formy przemocy </w:t>
      </w:r>
    </w:p>
    <w:p w14:paraId="3C7518E1"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uwikłanie – każda relacja, w której ktoś doświadcza strachu, lęku, poczucia winy, poczucia krzywdy, frustracji, poniżenia, zniewolenia, zależności, dominacji, niemożności bycia sobą, nieszczerości, braku autentyczności, przemocy emocjonalnej, fizycznej, seksualnej czy ekonomicznej. </w:t>
      </w:r>
    </w:p>
    <w:p w14:paraId="6E6B8064"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nadużycie – postępowanie lub czyn niezgodny z przyjętymi normami postępowania, a nadużywać oznacza użyć ponad miarę oraz wykorzystać coś w niewłaściwy sposób lub w nadmiernym stopniu (SJP). </w:t>
      </w:r>
    </w:p>
    <w:p w14:paraId="2A1450BE"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nadużycie władzy –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 </w:t>
      </w:r>
    </w:p>
    <w:p w14:paraId="531AB892"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przemoc duchowa – odwoływanie się do przekonań religijnych i wiary osoby w celu wyrządzenia jej szkody. Może mieć negatywny wpływ na duchowość osoby poszkodowanej, zwłaszcza gdy dopuszcza się jej osoba posiadająca duchowy autorytet i zaufanie w Kościele. </w:t>
      </w:r>
    </w:p>
    <w:p w14:paraId="60F56B01" w14:textId="77777777" w:rsidR="007C631E" w:rsidRPr="00A42CB3" w:rsidRDefault="002E0F1B" w:rsidP="00A42CB3">
      <w:pPr>
        <w:spacing w:line="276" w:lineRule="auto"/>
        <w:ind w:firstLine="567"/>
        <w:jc w:val="both"/>
        <w:rPr>
          <w:rFonts w:ascii="Georgia" w:hAnsi="Georgia"/>
        </w:rPr>
      </w:pPr>
      <w:r w:rsidRPr="00A42CB3">
        <w:rPr>
          <w:rFonts w:ascii="Georgia" w:hAnsi="Georgia"/>
        </w:rPr>
        <w:t xml:space="preserve">przemoc domowa –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 </w:t>
      </w:r>
    </w:p>
    <w:p w14:paraId="38A5F095"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zaniedbanie (wobec osoby dorosłej) – niezapewnienie przez opiekuna środków niezbędnych do życia osobie, którą się opiekuje. </w:t>
      </w:r>
    </w:p>
    <w:p w14:paraId="3D379839" w14:textId="77777777" w:rsidR="00AB6F19" w:rsidRPr="00A42CB3" w:rsidRDefault="002E0F1B" w:rsidP="00A42CB3">
      <w:pPr>
        <w:spacing w:line="276" w:lineRule="auto"/>
        <w:ind w:firstLine="567"/>
        <w:jc w:val="both"/>
        <w:rPr>
          <w:rFonts w:ascii="Georgia" w:hAnsi="Georgia"/>
        </w:rPr>
      </w:pPr>
      <w:r w:rsidRPr="00A42CB3">
        <w:rPr>
          <w:rFonts w:ascii="Georgia" w:hAnsi="Georgia"/>
        </w:rPr>
        <w:lastRenderedPageBreak/>
        <w:t xml:space="preserve">przemoc wobec osób starszych – pojedyncze lub powtarzające się działanie lub brak odpowiedniego działania, mające miejsce w jakimkolwiek związku, w którym oczekuje się zaufania, które powoduje krzywdę lub cierpienie starszej osoby. </w:t>
      </w:r>
    </w:p>
    <w:p w14:paraId="02863F2E" w14:textId="5780E0FF" w:rsidR="007C631E" w:rsidRPr="00A42CB3" w:rsidRDefault="002E0F1B" w:rsidP="00A42CB3">
      <w:pPr>
        <w:spacing w:line="276" w:lineRule="auto"/>
        <w:ind w:firstLine="567"/>
        <w:jc w:val="both"/>
        <w:rPr>
          <w:rFonts w:ascii="Georgia" w:hAnsi="Georgia"/>
        </w:rPr>
      </w:pPr>
      <w:r w:rsidRPr="00A42CB3">
        <w:rPr>
          <w:rFonts w:ascii="Georgia" w:hAnsi="Georgia"/>
        </w:rPr>
        <w:t xml:space="preserve">przemoc emocjonalna (dorośli) – powszechna forma przemocy mająca miejsce w bliskich związkach. Przemoc emocjonalna jest definiowana jako molestowanie, które ma miejsce, gdy dana osoba jest poddawana </w:t>
      </w:r>
      <w:r w:rsidR="0099474A" w:rsidRPr="00A42CB3">
        <w:rPr>
          <w:rFonts w:ascii="Georgia" w:hAnsi="Georgia"/>
        </w:rPr>
        <w:t>zrachowaniom</w:t>
      </w:r>
      <w:r w:rsidRPr="00A42CB3">
        <w:rPr>
          <w:rFonts w:ascii="Georgia" w:hAnsi="Georgia"/>
        </w:rPr>
        <w:t xml:space="preserve"> lub działaniom mającym na celu jej kontrolowanie, z zamiarem wyrządzenia jej krzywdy emocjonalnej lub strachu, poprzez manipulację, izolację lub zastraszanie. </w:t>
      </w:r>
    </w:p>
    <w:p w14:paraId="70C12839" w14:textId="77777777" w:rsidR="007C631E" w:rsidRPr="00A42CB3" w:rsidRDefault="002E0F1B" w:rsidP="00A42CB3">
      <w:pPr>
        <w:spacing w:line="276" w:lineRule="auto"/>
        <w:ind w:firstLine="567"/>
        <w:jc w:val="both"/>
        <w:rPr>
          <w:rFonts w:ascii="Georgia" w:hAnsi="Georgia"/>
        </w:rPr>
      </w:pPr>
      <w:proofErr w:type="spellStart"/>
      <w:r w:rsidRPr="00A42CB3">
        <w:rPr>
          <w:rFonts w:ascii="Georgia" w:hAnsi="Georgia"/>
        </w:rPr>
        <w:t>bullying</w:t>
      </w:r>
      <w:proofErr w:type="spellEnd"/>
      <w:r w:rsidRPr="00A42CB3">
        <w:rPr>
          <w:rFonts w:ascii="Georgia" w:hAnsi="Georgia"/>
        </w:rPr>
        <w:t xml:space="preserve"> – znęcanie, zastraszanie, prześladowanie werbalne, społeczne, a także fizyczne. </w:t>
      </w:r>
    </w:p>
    <w:p w14:paraId="2022351D" w14:textId="77777777" w:rsidR="00AB6F19" w:rsidRPr="00A42CB3" w:rsidRDefault="002E0F1B" w:rsidP="00A42CB3">
      <w:pPr>
        <w:spacing w:line="276" w:lineRule="auto"/>
        <w:ind w:firstLine="567"/>
        <w:jc w:val="both"/>
        <w:rPr>
          <w:rFonts w:ascii="Georgia" w:hAnsi="Georgia"/>
        </w:rPr>
      </w:pPr>
      <w:proofErr w:type="spellStart"/>
      <w:r w:rsidRPr="00A42CB3">
        <w:rPr>
          <w:rFonts w:ascii="Georgia" w:hAnsi="Georgia"/>
        </w:rPr>
        <w:t>gaslighting</w:t>
      </w:r>
      <w:proofErr w:type="spellEnd"/>
      <w:r w:rsidRPr="00A42CB3">
        <w:rPr>
          <w:rFonts w:ascii="Georgia" w:hAnsi="Georgia"/>
        </w:rPr>
        <w:t xml:space="preserve"> –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 </w:t>
      </w:r>
    </w:p>
    <w:p w14:paraId="35E6A7F7"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grooming (wobec dorosłego) – zachowania mające na celu izolację osoby, uczynienie jej zależną, skłonną do zaufania i bardziej podatną na agresywne zachowanie. </w:t>
      </w:r>
    </w:p>
    <w:p w14:paraId="10A4F3BD" w14:textId="23274DF6" w:rsidR="00AB6F19" w:rsidRPr="00A42CB3" w:rsidRDefault="002E0F1B" w:rsidP="00A42CB3">
      <w:pPr>
        <w:spacing w:line="276" w:lineRule="auto"/>
        <w:ind w:firstLine="567"/>
        <w:jc w:val="both"/>
        <w:rPr>
          <w:rFonts w:ascii="Georgia" w:hAnsi="Georgia"/>
        </w:rPr>
      </w:pPr>
      <w:r w:rsidRPr="00A42CB3">
        <w:rPr>
          <w:rFonts w:ascii="Georgia" w:hAnsi="Georgia"/>
        </w:rPr>
        <w:t xml:space="preserve">seksizm – uprzedzenie lub dyskryminacja ze względu na płeć. </w:t>
      </w:r>
    </w:p>
    <w:p w14:paraId="6BE546C8" w14:textId="55D9692E" w:rsidR="00AB6F19" w:rsidRPr="00A42CB3" w:rsidRDefault="002E0F1B" w:rsidP="00A42CB3">
      <w:pPr>
        <w:spacing w:line="276" w:lineRule="auto"/>
        <w:ind w:firstLine="567"/>
        <w:jc w:val="both"/>
        <w:rPr>
          <w:rFonts w:ascii="Georgia" w:hAnsi="Georgia"/>
        </w:rPr>
      </w:pPr>
      <w:proofErr w:type="spellStart"/>
      <w:r w:rsidRPr="00A42CB3">
        <w:rPr>
          <w:rFonts w:ascii="Georgia" w:hAnsi="Georgia"/>
        </w:rPr>
        <w:t>seksualizacja</w:t>
      </w:r>
      <w:proofErr w:type="spellEnd"/>
      <w:r w:rsidRPr="00A42CB3">
        <w:rPr>
          <w:rFonts w:ascii="Georgia" w:hAnsi="Georgia"/>
        </w:rPr>
        <w:t xml:space="preserve"> – proces, w wyniku którego wartościowanie drugiej osoby oraz siebie samego/ siebie samej dokonywane jest przez pryzmat atrakcyjności seksualnej, uprzedmiotowienie osoby pod względem seksualnym lub narzucanie seksualności w niewłaściwy sposób (wg Amerykańskiego Towarzystwa Psychologicznego). </w:t>
      </w:r>
    </w:p>
    <w:p w14:paraId="16558784"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cyberprzemoc – wszelka przemoc z użyciem technologii informacyjnych i komunikacyjnych – komunikatorów, czatów, stron internetowych, mediów społecznościowych, blogów, SMS-ów, MMS-ów. Może mieć formę wulgarnych wiadomości, obraźliwych komentarzy (hejt, </w:t>
      </w:r>
      <w:proofErr w:type="spellStart"/>
      <w:r w:rsidRPr="00A42CB3">
        <w:rPr>
          <w:rFonts w:ascii="Georgia" w:hAnsi="Georgia"/>
        </w:rPr>
        <w:t>trolling</w:t>
      </w:r>
      <w:proofErr w:type="spellEnd"/>
      <w:r w:rsidRPr="00A42CB3">
        <w:rPr>
          <w:rFonts w:ascii="Georgia" w:hAnsi="Georgia"/>
        </w:rPr>
        <w:t>), rozpowszechniania zdjęć ukazujących dziecko w niekorzystnym świetle, zastraszania, śledzenia (</w:t>
      </w:r>
      <w:proofErr w:type="spellStart"/>
      <w:r w:rsidRPr="00A42CB3">
        <w:rPr>
          <w:rFonts w:ascii="Georgia" w:hAnsi="Georgia"/>
        </w:rPr>
        <w:t>cyberstalking</w:t>
      </w:r>
      <w:proofErr w:type="spellEnd"/>
      <w:r w:rsidRPr="00A42CB3">
        <w:rPr>
          <w:rFonts w:ascii="Georgia" w:hAnsi="Georgia"/>
        </w:rPr>
        <w:t>), ujawniania tajemnic (</w:t>
      </w:r>
      <w:proofErr w:type="spellStart"/>
      <w:r w:rsidRPr="00A42CB3">
        <w:rPr>
          <w:rFonts w:ascii="Georgia" w:hAnsi="Georgia"/>
        </w:rPr>
        <w:t>outing</w:t>
      </w:r>
      <w:proofErr w:type="spellEnd"/>
      <w:r w:rsidRPr="00A42CB3">
        <w:rPr>
          <w:rFonts w:ascii="Georgia" w:hAnsi="Georgia"/>
        </w:rPr>
        <w:t xml:space="preserve">) itp. </w:t>
      </w:r>
    </w:p>
    <w:p w14:paraId="3295D240"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Wsparcie </w:t>
      </w:r>
    </w:p>
    <w:p w14:paraId="46700CA2" w14:textId="27C67E03" w:rsidR="00AB6F19" w:rsidRPr="00A42CB3" w:rsidRDefault="002E0F1B" w:rsidP="00A42CB3">
      <w:pPr>
        <w:spacing w:line="276" w:lineRule="auto"/>
        <w:ind w:firstLine="567"/>
        <w:jc w:val="both"/>
        <w:rPr>
          <w:rFonts w:ascii="Georgia" w:hAnsi="Georgia"/>
        </w:rPr>
      </w:pPr>
      <w:r w:rsidRPr="00A42CB3">
        <w:rPr>
          <w:rFonts w:ascii="Georgia" w:hAnsi="Georgia"/>
        </w:rPr>
        <w:t xml:space="preserve">Niebieska Linia – </w:t>
      </w:r>
      <w:hyperlink r:id="rId5" w:history="1">
        <w:r w:rsidR="00AB6F19" w:rsidRPr="00A42CB3">
          <w:rPr>
            <w:rStyle w:val="Hipercze"/>
            <w:rFonts w:ascii="Georgia" w:hAnsi="Georgia"/>
          </w:rPr>
          <w:t>https://www.niebieskalinia.info/</w:t>
        </w:r>
      </w:hyperlink>
      <w:r w:rsidRPr="00A42CB3">
        <w:rPr>
          <w:rFonts w:ascii="Georgia" w:hAnsi="Georgia"/>
        </w:rPr>
        <w:t xml:space="preserve"> </w:t>
      </w:r>
    </w:p>
    <w:p w14:paraId="1668C950"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procedura „Niebieskie Karty” –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 </w:t>
      </w:r>
    </w:p>
    <w:p w14:paraId="0B796310"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Przestępstwa motywowane seksualnie </w:t>
      </w:r>
    </w:p>
    <w:p w14:paraId="2C4DA5EF"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przestępstwo kanoniczne wykorzystywania seksualnego –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proofErr w:type="spellStart"/>
      <w:r w:rsidRPr="00A42CB3">
        <w:rPr>
          <w:rFonts w:ascii="Georgia" w:hAnsi="Georgia"/>
        </w:rPr>
        <w:t>Vos</w:t>
      </w:r>
      <w:proofErr w:type="spellEnd"/>
      <w:r w:rsidRPr="00A42CB3">
        <w:rPr>
          <w:rFonts w:ascii="Georgia" w:hAnsi="Georgia"/>
        </w:rPr>
        <w:t xml:space="preserve"> </w:t>
      </w:r>
      <w:proofErr w:type="spellStart"/>
      <w:r w:rsidRPr="00A42CB3">
        <w:rPr>
          <w:rFonts w:ascii="Georgia" w:hAnsi="Georgia"/>
        </w:rPr>
        <w:t>Estis</w:t>
      </w:r>
      <w:proofErr w:type="spellEnd"/>
      <w:r w:rsidRPr="00A42CB3">
        <w:rPr>
          <w:rFonts w:ascii="Georgia" w:hAnsi="Georgia"/>
        </w:rPr>
        <w:t xml:space="preserve"> Lux </w:t>
      </w:r>
      <w:proofErr w:type="spellStart"/>
      <w:r w:rsidRPr="00A42CB3">
        <w:rPr>
          <w:rFonts w:ascii="Georgia" w:hAnsi="Georgia"/>
        </w:rPr>
        <w:t>Mundi</w:t>
      </w:r>
      <w:proofErr w:type="spellEnd"/>
      <w:r w:rsidRPr="00A42CB3">
        <w:rPr>
          <w:rFonts w:ascii="Georgia" w:hAnsi="Georgia"/>
        </w:rPr>
        <w:t xml:space="preserve">. </w:t>
      </w:r>
    </w:p>
    <w:p w14:paraId="69147A3E"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przestępstwa przeciwko wolności seksualnej i obyczajności (art. 197-205 k.k.) –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 </w:t>
      </w:r>
    </w:p>
    <w:p w14:paraId="52E8B5DA" w14:textId="77777777" w:rsidR="00AB6F19" w:rsidRPr="00A42CB3" w:rsidRDefault="002E0F1B" w:rsidP="00A42CB3">
      <w:pPr>
        <w:spacing w:line="276" w:lineRule="auto"/>
        <w:ind w:firstLine="567"/>
        <w:jc w:val="both"/>
        <w:rPr>
          <w:rFonts w:ascii="Georgia" w:hAnsi="Georgia"/>
        </w:rPr>
      </w:pPr>
      <w:r w:rsidRPr="00A42CB3">
        <w:rPr>
          <w:rFonts w:ascii="Georgia" w:hAnsi="Georgia"/>
        </w:rPr>
        <w:lastRenderedPageBreak/>
        <w:t xml:space="preserve">Rejestr Sprawców Przestępstw na Tle Seksualnym – rejestr obywateli polskich, którzy dopuścili się przestępstwa z pobudek seksualnych. Składa się z Rejestru publicznego i Rejestru z dostępem ograniczonym. https://arch-bip.ms.gov.pl/pl/ rejestry-i-ewidencje/rejestr-sprawcow-przestepstw-na-tle-seksualnym/ </w:t>
      </w:r>
    </w:p>
    <w:p w14:paraId="2C5C538A"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Osoby dramatu </w:t>
      </w:r>
    </w:p>
    <w:p w14:paraId="576E4353"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osoba pokrzywdzona – osoba fizyczna lub prawna, której dobro prawne zostało bezpośrednio naruszone lub zagrożone przez przestępstwo (art. 49 §1 k.p.k.). </w:t>
      </w:r>
    </w:p>
    <w:p w14:paraId="3D7E8ABD"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osoby pokrzywdzone przemocą w rodzinie – osoby najbliższe, inne osoby pozostające w stałym lub przemijającym stosunku zależności od osoby stosującej przemoc (art. 115 §11 Ustawy o przeciwdziałaniu przemocy w rodzinie). </w:t>
      </w:r>
    </w:p>
    <w:p w14:paraId="418882C6"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skarżący – każda osoba składająca skargę zawierającą zarzut, podejrzenie, obawę lub zgłoszenie naruszenia prawa. </w:t>
      </w:r>
    </w:p>
    <w:p w14:paraId="4642CAB0"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podejrzany – osoba, wobec której istnieją podejrzenia popełnienia przestępstwa, ale nie postawiono jeszcze zarzutów. </w:t>
      </w:r>
    </w:p>
    <w:p w14:paraId="02CAC285" w14:textId="477A74C6" w:rsidR="00AB6F19" w:rsidRPr="00A42CB3" w:rsidRDefault="00AE1E86" w:rsidP="00A42CB3">
      <w:pPr>
        <w:spacing w:line="276" w:lineRule="auto"/>
        <w:ind w:firstLine="567"/>
        <w:jc w:val="both"/>
        <w:rPr>
          <w:rFonts w:ascii="Georgia" w:hAnsi="Georgia"/>
        </w:rPr>
      </w:pPr>
      <w:r w:rsidRPr="00A42CB3">
        <w:rPr>
          <w:rFonts w:ascii="Georgia" w:hAnsi="Georgia"/>
        </w:rPr>
        <w:t>o</w:t>
      </w:r>
      <w:r w:rsidR="002E0F1B" w:rsidRPr="00A42CB3">
        <w:rPr>
          <w:rFonts w:ascii="Georgia" w:hAnsi="Georgia"/>
        </w:rPr>
        <w:t xml:space="preserve">skarżony – osoba, której postawiono zarzuty karne. </w:t>
      </w:r>
    </w:p>
    <w:p w14:paraId="78B846E1"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przestępca seksualny – osoba, która przyznała się do wykorzystania seksualnego lub której odpowiedzialność za wykorzystanie została orzeczona przez właściwy sąd i/lub procedurę kościelną. </w:t>
      </w:r>
    </w:p>
    <w:p w14:paraId="75FE7F55"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Zespół ds. Prewencji i jego praca </w:t>
      </w:r>
    </w:p>
    <w:p w14:paraId="0EC47AB0"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osoba odpowiedzialna za standardy ochrony dzieci – osoba wyznaczona przez przełożonego danego dzieła duszpasterskiego, danej grupy parafialnej, np. ministrantów, sprawująca nadzór nad prawidłowym stosowaniem standardów ochrony dzieci. </w:t>
      </w:r>
    </w:p>
    <w:p w14:paraId="77A0FA85"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osoba zaufana – osoba wyznaczona przez przełożonego danego dzieła duszpasterskiego, ciesząca się zaufaniem i odpowiednio przygotowana, odpowiedzialna za przyjmowanie zgłoszeń o zdarzeniach dotyczących przemocy. </w:t>
      </w:r>
    </w:p>
    <w:p w14:paraId="71AD02B8" w14:textId="154E4B07" w:rsidR="00AB6F19" w:rsidRPr="00A42CB3" w:rsidRDefault="002E0F1B" w:rsidP="00A42CB3">
      <w:pPr>
        <w:spacing w:line="276" w:lineRule="auto"/>
        <w:ind w:firstLine="567"/>
        <w:jc w:val="both"/>
        <w:rPr>
          <w:rFonts w:ascii="Georgia" w:hAnsi="Georgia"/>
        </w:rPr>
      </w:pPr>
      <w:r w:rsidRPr="00A42CB3">
        <w:rPr>
          <w:rFonts w:ascii="Georgia" w:hAnsi="Georgia"/>
        </w:rPr>
        <w:t xml:space="preserve">osoba odpowiedzialna za interwencję – zarządca placówki (proboszcz) odpowiedzialny za podejmowanie interwencji w przypadku zaistnienia przemocy. </w:t>
      </w:r>
    </w:p>
    <w:p w14:paraId="24BDA783"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kompetencje miękkie – umiejętności psychospołeczne, np. komunikatywność, asertywność. </w:t>
      </w:r>
    </w:p>
    <w:p w14:paraId="2ECCFF98"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konflikt interesów –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 </w:t>
      </w:r>
    </w:p>
    <w:p w14:paraId="185D2DCA" w14:textId="77777777" w:rsidR="00AB6F19" w:rsidRPr="00A42CB3" w:rsidRDefault="00AB6F19" w:rsidP="00A42CB3">
      <w:pPr>
        <w:spacing w:line="276" w:lineRule="auto"/>
        <w:ind w:firstLine="567"/>
        <w:jc w:val="both"/>
        <w:rPr>
          <w:rFonts w:ascii="Georgia" w:hAnsi="Georgia"/>
        </w:rPr>
      </w:pPr>
      <w:r w:rsidRPr="00A42CB3">
        <w:rPr>
          <w:rFonts w:ascii="Georgia" w:hAnsi="Georgia"/>
        </w:rPr>
        <w:t>L</w:t>
      </w:r>
      <w:r w:rsidR="002E0F1B" w:rsidRPr="00A42CB3">
        <w:rPr>
          <w:rFonts w:ascii="Georgia" w:hAnsi="Georgia"/>
        </w:rPr>
        <w:t xml:space="preserve">ojalność środowiskowa – silna lojalność wobec danego środowiska, grupy ludzi, wspólnoty, instytucji, przełożonego itp., która może przyjmować formy pozytywne, np. dochowanie tajemnicy, lub negatywne, np. niereagowanie bądź zaprzeczanie przemocy. </w:t>
      </w:r>
    </w:p>
    <w:p w14:paraId="4908935D"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dane osobowe – wszelkie informacje dotyczące zidentyfikowanej lub możliwej do zidentyfikowania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 </w:t>
      </w:r>
    </w:p>
    <w:p w14:paraId="44BF1567"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wniosek o wgląd w sytuację rodziny –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 </w:t>
      </w:r>
    </w:p>
    <w:p w14:paraId="60372693" w14:textId="77777777" w:rsidR="00AB6F19" w:rsidRPr="00A42CB3" w:rsidRDefault="002E0F1B" w:rsidP="00A42CB3">
      <w:pPr>
        <w:spacing w:line="276" w:lineRule="auto"/>
        <w:ind w:firstLine="567"/>
        <w:jc w:val="both"/>
        <w:rPr>
          <w:rFonts w:ascii="Georgia" w:hAnsi="Georgia"/>
          <w:b/>
          <w:bCs/>
        </w:rPr>
      </w:pPr>
      <w:r w:rsidRPr="00A42CB3">
        <w:rPr>
          <w:rFonts w:ascii="Georgia" w:hAnsi="Georgia"/>
          <w:b/>
          <w:bCs/>
        </w:rPr>
        <w:lastRenderedPageBreak/>
        <w:t xml:space="preserve">Formy przemocy wobec dziecka </w:t>
      </w:r>
    </w:p>
    <w:p w14:paraId="13824BD2" w14:textId="77777777" w:rsidR="00AB6F19" w:rsidRPr="00A42CB3" w:rsidRDefault="002E0F1B" w:rsidP="00A42CB3">
      <w:pPr>
        <w:spacing w:line="276" w:lineRule="auto"/>
        <w:ind w:firstLine="567"/>
        <w:jc w:val="both"/>
        <w:rPr>
          <w:rFonts w:ascii="Georgia" w:hAnsi="Georgia"/>
        </w:rPr>
      </w:pPr>
      <w:r w:rsidRPr="00A42CB3">
        <w:rPr>
          <w:rFonts w:ascii="Georgia" w:hAnsi="Georgia"/>
        </w:rPr>
        <w:t xml:space="preserve">przemoc wobec dzieci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 </w:t>
      </w:r>
    </w:p>
    <w:p w14:paraId="016BC58F" w14:textId="752D7F9E" w:rsidR="00AB6F19" w:rsidRPr="00A42CB3" w:rsidRDefault="002E0F1B" w:rsidP="00A42CB3">
      <w:pPr>
        <w:pStyle w:val="Akapitzlist"/>
        <w:numPr>
          <w:ilvl w:val="0"/>
          <w:numId w:val="1"/>
        </w:numPr>
        <w:spacing w:line="276" w:lineRule="auto"/>
        <w:ind w:firstLine="567"/>
        <w:jc w:val="both"/>
        <w:rPr>
          <w:rFonts w:ascii="Georgia" w:hAnsi="Georgia"/>
        </w:rPr>
      </w:pPr>
      <w:r w:rsidRPr="00A42CB3">
        <w:rPr>
          <w:rFonts w:ascii="Georgia" w:hAnsi="Georgia"/>
        </w:rPr>
        <w:t xml:space="preserve">przemoc fizyczna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14:paraId="3007B651" w14:textId="3EB51751" w:rsidR="00AB6F19" w:rsidRPr="00A42CB3" w:rsidRDefault="002E0F1B" w:rsidP="00A42CB3">
      <w:pPr>
        <w:pStyle w:val="Akapitzlist"/>
        <w:numPr>
          <w:ilvl w:val="0"/>
          <w:numId w:val="1"/>
        </w:numPr>
        <w:spacing w:line="276" w:lineRule="auto"/>
        <w:ind w:firstLine="567"/>
        <w:jc w:val="both"/>
        <w:rPr>
          <w:rFonts w:ascii="Georgia" w:hAnsi="Georgia"/>
        </w:rPr>
      </w:pPr>
      <w:r w:rsidRPr="00A42CB3">
        <w:rPr>
          <w:rFonts w:ascii="Georgia" w:hAnsi="Georgia"/>
        </w:rPr>
        <w:t xml:space="preserve">przemoc psychiczna i emocjonalna to przewlekła, </w:t>
      </w:r>
      <w:proofErr w:type="spellStart"/>
      <w:r w:rsidRPr="00A42CB3">
        <w:rPr>
          <w:rFonts w:ascii="Georgia" w:hAnsi="Georgia"/>
        </w:rPr>
        <w:t>niefizyczna</w:t>
      </w:r>
      <w:proofErr w:type="spellEnd"/>
      <w:r w:rsidRPr="00A42CB3">
        <w:rPr>
          <w:rFonts w:ascii="Georgia" w:hAnsi="Georgia"/>
        </w:rPr>
        <w:t>,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w:t>
      </w:r>
    </w:p>
    <w:p w14:paraId="16ED8384" w14:textId="407873A6" w:rsidR="00AB6F19" w:rsidRPr="00A42CB3" w:rsidRDefault="002E0F1B" w:rsidP="00A42CB3">
      <w:pPr>
        <w:pStyle w:val="Akapitzlist"/>
        <w:numPr>
          <w:ilvl w:val="0"/>
          <w:numId w:val="1"/>
        </w:numPr>
        <w:spacing w:line="276" w:lineRule="auto"/>
        <w:ind w:firstLine="567"/>
        <w:jc w:val="both"/>
        <w:rPr>
          <w:rFonts w:ascii="Georgia" w:hAnsi="Georgia"/>
        </w:rPr>
      </w:pPr>
      <w:r w:rsidRPr="00A42CB3">
        <w:rPr>
          <w:rFonts w:ascii="Georgia" w:hAnsi="Georgia"/>
        </w:rPr>
        <w:t xml:space="preserve">zaniedbywanie dziecka 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 </w:t>
      </w:r>
    </w:p>
    <w:p w14:paraId="195CC95F" w14:textId="6C2C5F78" w:rsidR="00AB6F19" w:rsidRPr="00A42CB3" w:rsidRDefault="002E0F1B" w:rsidP="00A42CB3">
      <w:pPr>
        <w:pStyle w:val="Akapitzlist"/>
        <w:numPr>
          <w:ilvl w:val="0"/>
          <w:numId w:val="1"/>
        </w:numPr>
        <w:spacing w:line="276" w:lineRule="auto"/>
        <w:ind w:firstLine="567"/>
        <w:jc w:val="both"/>
        <w:rPr>
          <w:rFonts w:ascii="Georgia" w:hAnsi="Georgia"/>
        </w:rPr>
      </w:pPr>
      <w:r w:rsidRPr="00A42CB3">
        <w:rPr>
          <w:rFonts w:ascii="Georgia" w:hAnsi="Georgia"/>
        </w:rPr>
        <w:t xml:space="preserve">narażenie na przemoc w rodzinie – forma psychicznego znęcania się nad dzieckiem, w której dziecko jest obecne – słyszy lub widzi – gdy inny członek rodziny doświadcza przemocy fizycznej, psychicznej lub seksualnej albo widzi szkody wyrządzone osobom lub mieniu w wyniku agresywnego zachowania członka rodziny. </w:t>
      </w:r>
    </w:p>
    <w:p w14:paraId="57D37BA1" w14:textId="1FD9332B" w:rsidR="00AB6F19" w:rsidRPr="00A42CB3" w:rsidRDefault="002E0F1B" w:rsidP="00A42CB3">
      <w:pPr>
        <w:pStyle w:val="Akapitzlist"/>
        <w:numPr>
          <w:ilvl w:val="0"/>
          <w:numId w:val="1"/>
        </w:numPr>
        <w:spacing w:line="276" w:lineRule="auto"/>
        <w:ind w:firstLine="567"/>
        <w:jc w:val="both"/>
        <w:rPr>
          <w:rFonts w:ascii="Georgia" w:hAnsi="Georgia"/>
        </w:rPr>
      </w:pPr>
      <w:r w:rsidRPr="00A42CB3">
        <w:rPr>
          <w:rFonts w:ascii="Georgia" w:hAnsi="Georgia"/>
        </w:rPr>
        <w:t xml:space="preserve">wykorzystywanie seksualne dziecka –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w:t>
      </w:r>
      <w:proofErr w:type="spellStart"/>
      <w:r w:rsidRPr="00A42CB3">
        <w:rPr>
          <w:rFonts w:ascii="Georgia" w:hAnsi="Georgia"/>
        </w:rPr>
        <w:t>Health</w:t>
      </w:r>
      <w:proofErr w:type="spellEnd"/>
      <w:r w:rsidRPr="00A42CB3">
        <w:rPr>
          <w:rFonts w:ascii="Georgia" w:hAnsi="Georgia"/>
        </w:rPr>
        <w:t xml:space="preserve"> Organization). Obejmuje zachowania z kontaktem fizycznym (w tym penetracyjne) oraz bez kontaktu fizycznego, może wtedy przybrać formę </w:t>
      </w:r>
      <w:proofErr w:type="spellStart"/>
      <w:r w:rsidRPr="00A42CB3">
        <w:rPr>
          <w:rFonts w:ascii="Georgia" w:hAnsi="Georgia"/>
        </w:rPr>
        <w:t>seksualizacji</w:t>
      </w:r>
      <w:proofErr w:type="spellEnd"/>
      <w:r w:rsidRPr="00A42CB3">
        <w:rPr>
          <w:rFonts w:ascii="Georgia" w:hAnsi="Georgia"/>
        </w:rPr>
        <w:t xml:space="preserve">,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 Grooming (wobec dziecka) –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 </w:t>
      </w:r>
    </w:p>
    <w:p w14:paraId="79C2C12A" w14:textId="17A609D2" w:rsidR="002E0F1B" w:rsidRPr="00A42CB3" w:rsidRDefault="002E0F1B" w:rsidP="00A42CB3">
      <w:pPr>
        <w:spacing w:line="276" w:lineRule="auto"/>
        <w:ind w:firstLine="567"/>
        <w:jc w:val="both"/>
        <w:rPr>
          <w:rFonts w:ascii="Georgia" w:hAnsi="Georgia"/>
        </w:rPr>
      </w:pPr>
      <w:r w:rsidRPr="00A42CB3">
        <w:rPr>
          <w:rFonts w:ascii="Georgia" w:hAnsi="Georgia"/>
        </w:rPr>
        <w:t xml:space="preserve">przemoc rówieśnicza (agresja rówieśnicza, </w:t>
      </w:r>
      <w:proofErr w:type="spellStart"/>
      <w:r w:rsidRPr="00A42CB3">
        <w:rPr>
          <w:rFonts w:ascii="Georgia" w:hAnsi="Georgia"/>
        </w:rPr>
        <w:t>bullying</w:t>
      </w:r>
      <w:proofErr w:type="spellEnd"/>
      <w:r w:rsidRPr="00A42CB3">
        <w:rPr>
          <w:rFonts w:ascii="Georgia" w:hAnsi="Georgia"/>
        </w:rPr>
        <w:t xml:space="preserve">) –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w:t>
      </w:r>
      <w:r w:rsidRPr="00A42CB3">
        <w:rPr>
          <w:rFonts w:ascii="Georgia" w:hAnsi="Georgia"/>
        </w:rPr>
        <w:lastRenderedPageBreak/>
        <w:t>ośmieszanie), relacyjną (np. wykluczenie z grupy, ignorowanie, nastawianie innych przeciwko osobie), fizyczną (np. pobicie, kopanie, popychanie, szarpanie), materialną (np. kradzież, niszczenie przedmiotów) oraz elektroniczną (złośliwy SMS lub e-mail, wpis w mediach społecznościowych, umieszczanie w Internecie zdjęć lub filmów ośmieszających ofiarę), a także przemoc podczas randki ze strony chłopaka/dziewczyn</w:t>
      </w:r>
    </w:p>
    <w:sectPr w:rsidR="002E0F1B" w:rsidRPr="00A42CB3" w:rsidSect="00AE1E86">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972"/>
    <w:multiLevelType w:val="hybridMultilevel"/>
    <w:tmpl w:val="29FAD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7153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1B"/>
    <w:rsid w:val="000073FA"/>
    <w:rsid w:val="00235B58"/>
    <w:rsid w:val="002E0F1B"/>
    <w:rsid w:val="004B733D"/>
    <w:rsid w:val="0060191C"/>
    <w:rsid w:val="007C631E"/>
    <w:rsid w:val="0099474A"/>
    <w:rsid w:val="00A42CB3"/>
    <w:rsid w:val="00A4663F"/>
    <w:rsid w:val="00AB6F19"/>
    <w:rsid w:val="00AE1E86"/>
    <w:rsid w:val="00B35F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06CA"/>
  <w15:chartTrackingRefBased/>
  <w15:docId w15:val="{47E3785D-67E9-4E5E-A091-BC2778EF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6F19"/>
    <w:rPr>
      <w:color w:val="0563C1" w:themeColor="hyperlink"/>
      <w:u w:val="single"/>
    </w:rPr>
  </w:style>
  <w:style w:type="character" w:styleId="Nierozpoznanawzmianka">
    <w:name w:val="Unresolved Mention"/>
    <w:basedOn w:val="Domylnaczcionkaakapitu"/>
    <w:uiPriority w:val="99"/>
    <w:semiHidden/>
    <w:unhideWhenUsed/>
    <w:rsid w:val="00AB6F19"/>
    <w:rPr>
      <w:color w:val="605E5C"/>
      <w:shd w:val="clear" w:color="auto" w:fill="E1DFDD"/>
    </w:rPr>
  </w:style>
  <w:style w:type="paragraph" w:styleId="Akapitzlist">
    <w:name w:val="List Paragraph"/>
    <w:basedOn w:val="Normalny"/>
    <w:uiPriority w:val="34"/>
    <w:qFormat/>
    <w:rsid w:val="00AE1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ebieskalinia.in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3845</Words>
  <Characters>23075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 Sadecki</dc:creator>
  <cp:keywords/>
  <dc:description/>
  <cp:lastModifiedBy>OPP Dobry Siew Wilczopole</cp:lastModifiedBy>
  <cp:revision>3</cp:revision>
  <dcterms:created xsi:type="dcterms:W3CDTF">2024-08-14T13:18:00Z</dcterms:created>
  <dcterms:modified xsi:type="dcterms:W3CDTF">2024-08-14T13:32:00Z</dcterms:modified>
</cp:coreProperties>
</file>